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97D3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7D3B"/>
          <w:spacing w:val="0"/>
          <w:sz w:val="28"/>
          <w:szCs w:val="28"/>
          <w:bdr w:val="none" w:color="auto" w:sz="0" w:space="0"/>
          <w:shd w:val="clear" w:fill="FFFFFF"/>
        </w:rPr>
        <w:t>招收士官的招收条件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招收对象所学或者从事的专业应当符合部队需要。其中，招收的普通高等学校毕业生，其专业所在高校已开展职业技能鉴定的，应当取得国家颁发的中级以上职业资格证书。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招收的普通高等学校毕业生应当未婚，男性不超过二十四周岁。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360" w:lineRule="auto"/>
        <w:ind w:left="0" w:right="0" w:firstLine="42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中共党员、省级以上劳动模范、国家科技进步奖获得者、军人子女、烈士子女优先予以招收。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E43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朱艳</cp:lastModifiedBy>
  <dcterms:modified xsi:type="dcterms:W3CDTF">2019-04-29T02:20:42Z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